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第20周任务工单：综合实战与期末考查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第20周 · 综合实战与期末考查（项目九）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小组方案含模块清单、接线图、目标工况，经教师审核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接线与图纸一致，引脚无冲突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程序按四步骨架组织，命名与注释规范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完成≥2种工况演示，每种≥3次测试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作品、程序、实训记录三项材料齐全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二、作品信息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项目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内容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作品名称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选用模块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小组分工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三、工况测试记录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工况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第1次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第2次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第3次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结果稳定性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工况一：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工况二：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提交作品、程序与实训记录：作品现场验收，程序源码与实训记录（含方案图、测试数据、故障排查）一周内上传。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五、我的收获与疑问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低压负载、分区上电、规范使用工具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按图施工，逐路验证，引脚无冲突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四步骨架清晰，命名注释规范，阈值集中管理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≥2工况演示成功，≥3次测试稳定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方案图、测试数据、排查过程完整可溯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